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20828A" w14:textId="77777777" w:rsidR="00F70146" w:rsidRDefault="00F70146">
      <w:pPr>
        <w:spacing w:line="240" w:lineRule="auto"/>
        <w:rPr>
          <w:b/>
          <w:bCs/>
          <w:sz w:val="30"/>
          <w:szCs w:val="30"/>
        </w:rPr>
      </w:pPr>
    </w:p>
    <w:p w14:paraId="1E02BE1A" w14:textId="6DF257D5" w:rsidR="008E22F5" w:rsidRDefault="00000000">
      <w:pPr>
        <w:spacing w:line="240" w:lineRule="auto"/>
        <w:rPr>
          <w:b/>
          <w:bCs/>
          <w:sz w:val="30"/>
          <w:szCs w:val="30"/>
        </w:rPr>
      </w:pPr>
      <w:r>
        <w:rPr>
          <w:b/>
          <w:bCs/>
          <w:sz w:val="30"/>
          <w:szCs w:val="30"/>
        </w:rPr>
        <w:t xml:space="preserve">Résolutions à la Conférence générale 2027 - Orientations et procédures </w:t>
      </w:r>
    </w:p>
    <w:p w14:paraId="6A43B76C" w14:textId="77777777" w:rsidR="008E22F5" w:rsidRDefault="00000000">
      <w:pPr>
        <w:spacing w:line="240" w:lineRule="auto"/>
      </w:pPr>
      <w:r>
        <w:t xml:space="preserve">Pour les méthodistes libres, la Conférence générale n’est pas seulement une réunion, mais fait partie de notre pratique de longue date de « conférence sainte ». C’est un moyen de grâce par lequel nous cherchons le Seigneur à travers une conversation priante et intentionnelle sur des questions de foi, de vie chrétienne et de mission. </w:t>
      </w:r>
    </w:p>
    <w:p w14:paraId="42E0A21F" w14:textId="77777777" w:rsidR="008E22F5" w:rsidRDefault="00000000">
      <w:pPr>
        <w:spacing w:line="240" w:lineRule="auto"/>
      </w:pPr>
      <w:r>
        <w:t>L’une des façons dont nous participons à ce moyen de grâce est en examinant les résolutions qui ont été proposées à la Conférence. Selon notre manuel (410.5), toute société ou membre individuel d’une société locale a le droit de proposer une résolution à la Conférence générale et de la faire « pleinement entendre ». Les résolutions sont une indication de notre investissement dans la vie de notre dénomination et de notre préoccupation pour son avenir.  Les pasteurs et les délégués sont fortement encouragés à examiner le processus de résolutions avec leurs églises locales, en rappelant aux membres, en particulier l’opportunité de s’engager dans ce processus.</w:t>
      </w:r>
    </w:p>
    <w:p w14:paraId="3EB84AB7" w14:textId="77777777" w:rsidR="008E22F5" w:rsidRDefault="00000000">
      <w:pPr>
        <w:spacing w:line="240" w:lineRule="auto"/>
      </w:pPr>
      <w:r>
        <w:t>Sur la base des dispositions de notre Manuel et du Règlement permanent de la Conférence générale, voici la procédure à suivre pour soumettre des résolutions à la Conférence générale 2027 :</w:t>
      </w:r>
    </w:p>
    <w:p w14:paraId="3F1724F3" w14:textId="77777777" w:rsidR="008E22F5" w:rsidRDefault="00000000">
      <w:pPr>
        <w:numPr>
          <w:ilvl w:val="0"/>
          <w:numId w:val="1"/>
        </w:numPr>
        <w:spacing w:after="0" w:line="240" w:lineRule="auto"/>
      </w:pPr>
      <w:r>
        <w:t xml:space="preserve">La date limite pour soumettre des résolutions est </w:t>
      </w:r>
      <w:r>
        <w:rPr>
          <w:b/>
          <w:bCs/>
        </w:rPr>
        <w:t xml:space="preserve">le 1er novembre 2026. </w:t>
      </w:r>
    </w:p>
    <w:p w14:paraId="75F14947" w14:textId="77777777" w:rsidR="008E22F5" w:rsidRDefault="00000000">
      <w:pPr>
        <w:numPr>
          <w:ilvl w:val="0"/>
          <w:numId w:val="1"/>
        </w:numPr>
        <w:spacing w:after="0" w:line="240" w:lineRule="auto"/>
        <w:rPr>
          <w:b/>
          <w:bCs/>
        </w:rPr>
      </w:pPr>
      <w:r>
        <w:t>Aucune nouvelle résolution ne sera acceptée à la Conférence générale.</w:t>
      </w:r>
    </w:p>
    <w:p w14:paraId="4495222D" w14:textId="77777777" w:rsidR="008E22F5" w:rsidRDefault="00000000">
      <w:pPr>
        <w:numPr>
          <w:ilvl w:val="0"/>
          <w:numId w:val="1"/>
        </w:numPr>
        <w:spacing w:after="0" w:line="240" w:lineRule="auto"/>
      </w:pPr>
      <w:r>
        <w:t>Les résolutions doivent être soumises en utilisant le format décrit dans « Guide de soumission des résolutions » ci-dessous.</w:t>
      </w:r>
    </w:p>
    <w:p w14:paraId="284CFC14" w14:textId="77777777" w:rsidR="008E22F5" w:rsidRDefault="00000000">
      <w:pPr>
        <w:numPr>
          <w:ilvl w:val="0"/>
          <w:numId w:val="1"/>
        </w:numPr>
        <w:spacing w:after="0" w:line="240" w:lineRule="auto"/>
      </w:pPr>
      <w:r>
        <w:t>Chaque résolution proposée doit être cosignée par au moins un parrain qui est membre de la conférence (pasteur ou délégué).</w:t>
      </w:r>
    </w:p>
    <w:p w14:paraId="2C6F5C0A" w14:textId="77777777" w:rsidR="008E22F5" w:rsidRDefault="00000000">
      <w:pPr>
        <w:numPr>
          <w:ilvl w:val="0"/>
          <w:numId w:val="1"/>
        </w:numPr>
        <w:spacing w:after="0" w:line="240" w:lineRule="auto"/>
      </w:pPr>
      <w:r>
        <w:t xml:space="preserve">Les résolutions doivent être soumises par courriel à </w:t>
      </w:r>
      <w:hyperlink r:id="rId8">
        <w:r w:rsidR="008E22F5">
          <w:rPr>
            <w:b/>
            <w:bCs/>
            <w:color w:val="0563C1"/>
            <w:u w:val="single"/>
          </w:rPr>
          <w:t>resolutions@fmcic.ca</w:t>
        </w:r>
      </w:hyperlink>
      <w:r>
        <w:rPr>
          <w:b/>
          <w:bCs/>
        </w:rPr>
        <w:t xml:space="preserve">. </w:t>
      </w:r>
    </w:p>
    <w:p w14:paraId="472ABE21" w14:textId="735C620B" w:rsidR="008E22F5" w:rsidRDefault="00000000">
      <w:pPr>
        <w:numPr>
          <w:ilvl w:val="0"/>
          <w:numId w:val="1"/>
        </w:numPr>
        <w:spacing w:after="0" w:line="240" w:lineRule="auto"/>
      </w:pPr>
      <w:r>
        <w:t>La Commission d’étude de la doctrine (</w:t>
      </w:r>
      <w:r w:rsidR="009A52B2">
        <w:t>CE</w:t>
      </w:r>
      <w:r>
        <w:t xml:space="preserve">D) servira de comité des résolutions. Il évaluera les résolutions soumises et pourra les renvoyer à un comité permanent ou au Conseil d’administration (CA). </w:t>
      </w:r>
    </w:p>
    <w:p w14:paraId="4DCCD14D" w14:textId="77841826" w:rsidR="004A7D87" w:rsidRDefault="004A7D87">
      <w:pPr>
        <w:numPr>
          <w:ilvl w:val="0"/>
          <w:numId w:val="1"/>
        </w:numPr>
        <w:spacing w:after="0" w:line="240" w:lineRule="auto"/>
      </w:pPr>
      <w:r>
        <w:t>Les résolutions proposées seront évaluées pour leur clarté, concision, format (voir les directives ci-dessous), faisabilité, focus et alignement avec la vision et les valeurs d</w:t>
      </w:r>
      <w:r w:rsidR="009A52B2">
        <w:t>e l’EMLC</w:t>
      </w:r>
      <w:r>
        <w:t>.</w:t>
      </w:r>
    </w:p>
    <w:p w14:paraId="45866498" w14:textId="40BDEBD4" w:rsidR="008E22F5" w:rsidRDefault="00000000">
      <w:pPr>
        <w:numPr>
          <w:ilvl w:val="0"/>
          <w:numId w:val="1"/>
        </w:numPr>
        <w:spacing w:after="0" w:line="240" w:lineRule="auto"/>
      </w:pPr>
      <w:r>
        <w:t xml:space="preserve">La </w:t>
      </w:r>
      <w:r w:rsidR="009A52B2">
        <w:t>CE</w:t>
      </w:r>
      <w:r>
        <w:t xml:space="preserve">D, le comité permanent ou le conseil d’administration peuvent recommander l’adoption, la modification, la fusion (combinaison de deux résolutions connexes ou plus) ou le rejet des résolutions. La justification de ces décisions sera communiquée à la Conférence. </w:t>
      </w:r>
    </w:p>
    <w:p w14:paraId="4FCDEB17" w14:textId="720D24AF" w:rsidR="008E22F5" w:rsidRDefault="00000000">
      <w:pPr>
        <w:numPr>
          <w:ilvl w:val="0"/>
          <w:numId w:val="1"/>
        </w:numPr>
        <w:spacing w:after="0" w:line="240" w:lineRule="auto"/>
      </w:pPr>
      <w:r>
        <w:t xml:space="preserve">L’ensemble des résolutions ainsi que les décisions du Comité des résolutions seront communiquées </w:t>
      </w:r>
      <w:r w:rsidR="009A52B2">
        <w:t>à l’EMLC</w:t>
      </w:r>
      <w:r>
        <w:t xml:space="preserve"> d’ici le 1er mars 2027.</w:t>
      </w:r>
    </w:p>
    <w:p w14:paraId="29C0C353" w14:textId="77777777" w:rsidR="008E22F5" w:rsidRDefault="00000000">
      <w:pPr>
        <w:numPr>
          <w:ilvl w:val="0"/>
          <w:numId w:val="1"/>
        </w:numPr>
        <w:spacing w:after="0" w:line="240" w:lineRule="auto"/>
      </w:pPr>
      <w:r>
        <w:t xml:space="preserve">Une recommandation de rejeter une résolution peut être annulée par un vote à 75% de la Conférence générale. Cela permettrait à la Conférence d’examiner la résolution. </w:t>
      </w:r>
    </w:p>
    <w:p w14:paraId="63120531" w14:textId="2607343A" w:rsidR="008E22F5" w:rsidRDefault="00000000">
      <w:pPr>
        <w:numPr>
          <w:ilvl w:val="0"/>
          <w:numId w:val="1"/>
        </w:numPr>
        <w:spacing w:after="0" w:line="240" w:lineRule="auto"/>
      </w:pPr>
      <w:r>
        <w:t xml:space="preserve">Les résolutions qui sont approuvées lors de la Conférence générale seront adoptées par le </w:t>
      </w:r>
      <w:r w:rsidR="009A52B2">
        <w:t>C</w:t>
      </w:r>
      <w:r>
        <w:t xml:space="preserve">A ou un autre comité permanent pertinent. Lorsque les résolutions approuvées nécessitent des modifications du manuel, le </w:t>
      </w:r>
      <w:r w:rsidR="009A52B2">
        <w:t>CE</w:t>
      </w:r>
      <w:r>
        <w:t xml:space="preserve">D supervisera ces modifications ou les remettra à l’organisme responsable du chapitre approprié du manuel (par exemple, </w:t>
      </w:r>
      <w:r w:rsidR="009A52B2">
        <w:t>C</w:t>
      </w:r>
      <w:r>
        <w:t xml:space="preserve">A, </w:t>
      </w:r>
      <w:r w:rsidR="009A52B2">
        <w:t>CMEOP</w:t>
      </w:r>
      <w:r>
        <w:t xml:space="preserve">). Toutes les modifications apportées au manuel doivent recevoir l’approbation finale du </w:t>
      </w:r>
      <w:r w:rsidR="009A52B2">
        <w:t>CA</w:t>
      </w:r>
      <w:r>
        <w:t xml:space="preserve"> en tant que représentants de la Conférence générale.</w:t>
      </w:r>
    </w:p>
    <w:p w14:paraId="455E11ED" w14:textId="4B3C9ADC" w:rsidR="00F70146" w:rsidRDefault="00F70146">
      <w:r>
        <w:br w:type="page"/>
      </w:r>
    </w:p>
    <w:p w14:paraId="6F0DC2A2" w14:textId="77777777" w:rsidR="008E22F5" w:rsidRDefault="008E22F5">
      <w:pPr>
        <w:spacing w:after="0" w:line="240" w:lineRule="auto"/>
      </w:pPr>
    </w:p>
    <w:p w14:paraId="404A27BF" w14:textId="77777777" w:rsidR="008E22F5" w:rsidRDefault="00000000">
      <w:pPr>
        <w:spacing w:after="0" w:line="240" w:lineRule="auto"/>
        <w:rPr>
          <w:b/>
          <w:bCs/>
          <w:sz w:val="28"/>
          <w:szCs w:val="28"/>
        </w:rPr>
      </w:pPr>
      <w:r>
        <w:rPr>
          <w:b/>
          <w:bCs/>
          <w:sz w:val="28"/>
          <w:szCs w:val="28"/>
        </w:rPr>
        <w:t xml:space="preserve">Guide de soumission de résolution </w:t>
      </w:r>
    </w:p>
    <w:p w14:paraId="77E3A9C4" w14:textId="77777777" w:rsidR="008E22F5" w:rsidRDefault="008E22F5">
      <w:pPr>
        <w:spacing w:after="0" w:line="240" w:lineRule="auto"/>
        <w:rPr>
          <w:b/>
          <w:bCs/>
          <w:sz w:val="28"/>
          <w:szCs w:val="28"/>
        </w:rPr>
      </w:pPr>
    </w:p>
    <w:p w14:paraId="73F4CD2B" w14:textId="7CE7A3C2" w:rsidR="008E22F5" w:rsidRDefault="00000000">
      <w:pPr>
        <w:spacing w:after="0" w:line="240" w:lineRule="auto"/>
      </w:pPr>
      <w:r>
        <w:t>Les résolutions devraient être préparées dans un esprit de prière et de manière réfléchie. Ils devraient se rapporter à un aspect de notre vie commune ensemble en tant que dénomination et servir l’avancement de la mission de Dieu par le biais de l’Église méthodiste libre au Canada. De préférence, chaque résolution sera axée sur une seule question.</w:t>
      </w:r>
    </w:p>
    <w:p w14:paraId="116FEC53" w14:textId="77777777" w:rsidR="008E22F5" w:rsidRDefault="008E22F5">
      <w:pPr>
        <w:spacing w:after="0" w:line="240" w:lineRule="auto"/>
      </w:pPr>
    </w:p>
    <w:p w14:paraId="0DC9EFD1" w14:textId="77777777" w:rsidR="008E22F5" w:rsidRDefault="00000000">
      <w:pPr>
        <w:spacing w:after="0" w:line="240" w:lineRule="auto"/>
      </w:pPr>
      <w:r>
        <w:t>Lors de la rédaction d’une résolution, l’auteur(s) doit inclure une justification à l’appui, chaque raison proposée à l’appui de la résolution étant rédigée sous forme de « Attendu que » (autant de fois que nécessaire), suivie par la résolution elle-même introduite avec « Par conséquent, qu’il soit résolu ». .  Voir le format ci-dessous.</w:t>
      </w:r>
    </w:p>
    <w:p w14:paraId="1701D93B" w14:textId="77777777" w:rsidR="008E22F5" w:rsidRDefault="008E22F5">
      <w:pPr>
        <w:spacing w:after="0" w:line="240" w:lineRule="auto"/>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E22F5" w14:paraId="617E9598" w14:textId="77777777">
        <w:tc>
          <w:tcPr>
            <w:tcW w:w="9360" w:type="dxa"/>
            <w:tcMar>
              <w:top w:w="100" w:type="dxa"/>
              <w:left w:w="100" w:type="dxa"/>
              <w:bottom w:w="100" w:type="dxa"/>
              <w:right w:w="100" w:type="dxa"/>
            </w:tcMar>
          </w:tcPr>
          <w:sdt>
            <w:sdtPr>
              <w:tag w:val="goog_rdk_0"/>
              <w:id w:val="-381785510"/>
              <w:lock w:val="contentLocked"/>
            </w:sdtPr>
            <w:sdtContent>
              <w:p w14:paraId="3CF757AB" w14:textId="77777777" w:rsidR="008E22F5" w:rsidRDefault="00000000">
                <w:pPr>
                  <w:widowControl w:val="0"/>
                  <w:pBdr>
                    <w:top w:val="nil"/>
                    <w:left w:val="nil"/>
                    <w:bottom w:val="nil"/>
                    <w:right w:val="nil"/>
                    <w:between w:val="nil"/>
                  </w:pBdr>
                  <w:spacing w:after="0" w:line="240" w:lineRule="auto"/>
                  <w:rPr>
                    <w:b/>
                    <w:bCs/>
                    <w:sz w:val="26"/>
                    <w:szCs w:val="26"/>
                  </w:rPr>
                </w:pPr>
                <w:r>
                  <w:rPr>
                    <w:b/>
                    <w:bCs/>
                    <w:sz w:val="26"/>
                    <w:szCs w:val="26"/>
                  </w:rPr>
                  <w:t>Résolution à la 2027 Conférence générale de l’Église méthodiste libre au Canada</w:t>
                </w:r>
              </w:p>
              <w:p w14:paraId="77EB0D8A" w14:textId="77777777" w:rsidR="008E22F5" w:rsidRDefault="008E22F5">
                <w:pPr>
                  <w:widowControl w:val="0"/>
                  <w:pBdr>
                    <w:top w:val="nil"/>
                    <w:left w:val="nil"/>
                    <w:bottom w:val="nil"/>
                    <w:right w:val="nil"/>
                    <w:between w:val="nil"/>
                  </w:pBdr>
                  <w:spacing w:after="0" w:line="240" w:lineRule="auto"/>
                </w:pPr>
              </w:p>
              <w:p w14:paraId="0F735FD8" w14:textId="77777777" w:rsidR="008E22F5" w:rsidRDefault="00000000">
                <w:pPr>
                  <w:widowControl w:val="0"/>
                  <w:pBdr>
                    <w:top w:val="nil"/>
                    <w:left w:val="nil"/>
                    <w:bottom w:val="nil"/>
                    <w:right w:val="nil"/>
                    <w:between w:val="nil"/>
                  </w:pBdr>
                  <w:spacing w:after="0" w:line="240" w:lineRule="auto"/>
                </w:pPr>
                <w:r>
                  <w:t xml:space="preserve">Attendu que : </w:t>
                </w:r>
              </w:p>
              <w:p w14:paraId="5830ACEC" w14:textId="77777777" w:rsidR="008E22F5" w:rsidRDefault="008E22F5">
                <w:pPr>
                  <w:widowControl w:val="0"/>
                  <w:pBdr>
                    <w:top w:val="nil"/>
                    <w:left w:val="nil"/>
                    <w:bottom w:val="nil"/>
                    <w:right w:val="nil"/>
                    <w:between w:val="nil"/>
                  </w:pBdr>
                  <w:spacing w:after="0" w:line="240" w:lineRule="auto"/>
                </w:pPr>
              </w:p>
              <w:p w14:paraId="5E66B033" w14:textId="77777777" w:rsidR="008E22F5" w:rsidRDefault="00000000">
                <w:pPr>
                  <w:widowControl w:val="0"/>
                  <w:pBdr>
                    <w:top w:val="nil"/>
                    <w:left w:val="nil"/>
                    <w:bottom w:val="nil"/>
                    <w:right w:val="nil"/>
                    <w:between w:val="nil"/>
                  </w:pBdr>
                  <w:spacing w:after="0" w:line="240" w:lineRule="auto"/>
                </w:pPr>
                <w:r>
                  <w:t>Attendu que :</w:t>
                </w:r>
              </w:p>
              <w:p w14:paraId="248285E5" w14:textId="77777777" w:rsidR="008E22F5" w:rsidRDefault="008E22F5">
                <w:pPr>
                  <w:widowControl w:val="0"/>
                  <w:pBdr>
                    <w:top w:val="nil"/>
                    <w:left w:val="nil"/>
                    <w:bottom w:val="nil"/>
                    <w:right w:val="nil"/>
                    <w:between w:val="nil"/>
                  </w:pBdr>
                  <w:spacing w:after="0" w:line="240" w:lineRule="auto"/>
                </w:pPr>
              </w:p>
              <w:p w14:paraId="3E577536" w14:textId="77777777" w:rsidR="008E22F5" w:rsidRDefault="00000000">
                <w:pPr>
                  <w:widowControl w:val="0"/>
                  <w:pBdr>
                    <w:top w:val="nil"/>
                    <w:left w:val="nil"/>
                    <w:bottom w:val="nil"/>
                    <w:right w:val="nil"/>
                    <w:between w:val="nil"/>
                  </w:pBdr>
                  <w:spacing w:after="0" w:line="240" w:lineRule="auto"/>
                </w:pPr>
                <w:r>
                  <w:t xml:space="preserve">Attendu que : </w:t>
                </w:r>
              </w:p>
              <w:p w14:paraId="3C387C59" w14:textId="77777777" w:rsidR="008E22F5" w:rsidRDefault="008E22F5">
                <w:pPr>
                  <w:widowControl w:val="0"/>
                  <w:pBdr>
                    <w:top w:val="nil"/>
                    <w:left w:val="nil"/>
                    <w:bottom w:val="nil"/>
                    <w:right w:val="nil"/>
                    <w:between w:val="nil"/>
                  </w:pBdr>
                  <w:spacing w:after="0" w:line="240" w:lineRule="auto"/>
                </w:pPr>
              </w:p>
              <w:p w14:paraId="5E07331A" w14:textId="77777777" w:rsidR="008E22F5" w:rsidRDefault="00000000">
                <w:pPr>
                  <w:widowControl w:val="0"/>
                  <w:pBdr>
                    <w:top w:val="nil"/>
                    <w:left w:val="nil"/>
                    <w:bottom w:val="nil"/>
                    <w:right w:val="nil"/>
                    <w:between w:val="nil"/>
                  </w:pBdr>
                  <w:spacing w:after="0" w:line="240" w:lineRule="auto"/>
                </w:pPr>
                <w:r>
                  <w:t xml:space="preserve">Par conséquent, qu’il soit résolu . . . </w:t>
                </w:r>
              </w:p>
              <w:p w14:paraId="5540654E" w14:textId="77777777" w:rsidR="008E22F5" w:rsidRDefault="008E22F5">
                <w:pPr>
                  <w:widowControl w:val="0"/>
                  <w:pBdr>
                    <w:top w:val="nil"/>
                    <w:left w:val="nil"/>
                    <w:bottom w:val="nil"/>
                    <w:right w:val="nil"/>
                    <w:between w:val="nil"/>
                  </w:pBdr>
                  <w:spacing w:after="0" w:line="240" w:lineRule="auto"/>
                </w:pPr>
              </w:p>
              <w:p w14:paraId="227B3AA7" w14:textId="77777777" w:rsidR="008E22F5" w:rsidRDefault="00000000">
                <w:pPr>
                  <w:widowControl w:val="0"/>
                  <w:pBdr>
                    <w:top w:val="nil"/>
                    <w:left w:val="nil"/>
                    <w:bottom w:val="nil"/>
                    <w:right w:val="nil"/>
                    <w:between w:val="nil"/>
                  </w:pBdr>
                  <w:spacing w:after="0" w:line="240" w:lineRule="auto"/>
                </w:pPr>
                <w:r>
                  <w:t>Nom de la Société ou du/des membre(s) individuel(s) par qui la résolution est proposée :</w:t>
                </w:r>
              </w:p>
              <w:p w14:paraId="6C85DFEC" w14:textId="77777777" w:rsidR="008E22F5" w:rsidRDefault="008E22F5">
                <w:pPr>
                  <w:widowControl w:val="0"/>
                  <w:pBdr>
                    <w:top w:val="nil"/>
                    <w:left w:val="nil"/>
                    <w:bottom w:val="nil"/>
                    <w:right w:val="nil"/>
                    <w:between w:val="nil"/>
                  </w:pBdr>
                  <w:spacing w:after="0" w:line="240" w:lineRule="auto"/>
                </w:pPr>
              </w:p>
              <w:p w14:paraId="66EC56F8" w14:textId="77777777" w:rsidR="008E22F5" w:rsidRDefault="00000000">
                <w:pPr>
                  <w:widowControl w:val="0"/>
                  <w:pBdr>
                    <w:top w:val="nil"/>
                    <w:left w:val="nil"/>
                    <w:bottom w:val="nil"/>
                    <w:right w:val="nil"/>
                    <w:between w:val="nil"/>
                  </w:pBdr>
                  <w:spacing w:after="0" w:line="240" w:lineRule="auto"/>
                </w:pPr>
                <w:r>
                  <w:t>Nom du (des) membre(s) de la Conférence générale qui coparraine et présente la résolution (Délégué ou Ministre ordonné) :</w:t>
                </w:r>
              </w:p>
              <w:p w14:paraId="13D15A36" w14:textId="77777777" w:rsidR="008E22F5" w:rsidRDefault="00000000">
                <w:pPr>
                  <w:widowControl w:val="0"/>
                  <w:pBdr>
                    <w:top w:val="nil"/>
                    <w:left w:val="nil"/>
                    <w:bottom w:val="nil"/>
                    <w:right w:val="nil"/>
                    <w:between w:val="nil"/>
                  </w:pBdr>
                  <w:spacing w:after="0" w:line="240" w:lineRule="auto"/>
                </w:pPr>
              </w:p>
            </w:sdtContent>
          </w:sdt>
        </w:tc>
      </w:tr>
    </w:tbl>
    <w:p w14:paraId="503DC91A" w14:textId="77777777" w:rsidR="008E22F5" w:rsidRDefault="008E22F5">
      <w:pPr>
        <w:spacing w:after="0" w:line="240" w:lineRule="auto"/>
      </w:pPr>
    </w:p>
    <w:p w14:paraId="6D58BEF6" w14:textId="77777777" w:rsidR="008E22F5" w:rsidRDefault="008E22F5">
      <w:pPr>
        <w:spacing w:after="0" w:line="240" w:lineRule="auto"/>
      </w:pPr>
    </w:p>
    <w:sectPr w:rsidR="008E22F5" w:rsidSect="00F70146">
      <w:headerReference w:type="default" r:id="rId9"/>
      <w:pgSz w:w="12240" w:h="15840"/>
      <w:pgMar w:top="1134" w:right="1134"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80A070" w14:textId="77777777" w:rsidR="0055662B" w:rsidRDefault="0055662B">
      <w:pPr>
        <w:spacing w:after="0" w:line="240" w:lineRule="auto"/>
      </w:pPr>
      <w:r>
        <w:separator/>
      </w:r>
    </w:p>
  </w:endnote>
  <w:endnote w:type="continuationSeparator" w:id="0">
    <w:p w14:paraId="0BBC0405" w14:textId="77777777" w:rsidR="0055662B" w:rsidRDefault="005566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4397EC3C-9973-0749-B9B1-F72DFC769B5F}"/>
    <w:embedBold r:id="rId2" w:fontKey="{7B637296-8D6A-7949-B729-3BD7576F2CF7}"/>
    <w:embedItalic r:id="rId3" w:fontKey="{B3520586-E00C-1943-890E-B5F53C36FC7B}"/>
  </w:font>
  <w:font w:name="Calibri">
    <w:panose1 w:val="020F0502020204030204"/>
    <w:charset w:val="00"/>
    <w:family w:val="swiss"/>
    <w:pitch w:val="variable"/>
    <w:sig w:usb0="E4002EFF" w:usb1="C200247B" w:usb2="00000009" w:usb3="00000000" w:csb0="000001FF" w:csb1="00000000"/>
    <w:embedRegular r:id="rId4" w:fontKey="{0E48CFDF-2531-8F42-9199-952CBA768822}"/>
    <w:embedBold r:id="rId5" w:fontKey="{F948C422-2306-114A-9B76-69C6524218D9}"/>
    <w:embedItalic r:id="rId6" w:fontKey="{57CCE5D3-0AAE-224E-9F1D-6BC522955BF9}"/>
  </w:font>
  <w:font w:name="Calibri Light">
    <w:panose1 w:val="020F0302020204030204"/>
    <w:charset w:val="00"/>
    <w:family w:val="swiss"/>
    <w:pitch w:val="variable"/>
    <w:sig w:usb0="E0002AFF" w:usb1="C000247B" w:usb2="00000009" w:usb3="00000000" w:csb0="000001FF" w:csb1="00000000"/>
    <w:embedRegular r:id="rId7" w:fontKey="{EDB2086E-6381-854E-AC44-B7177088EC48}"/>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198563" w14:textId="77777777" w:rsidR="0055662B" w:rsidRDefault="0055662B">
      <w:pPr>
        <w:spacing w:after="0" w:line="240" w:lineRule="auto"/>
      </w:pPr>
      <w:r>
        <w:separator/>
      </w:r>
    </w:p>
  </w:footnote>
  <w:footnote w:type="continuationSeparator" w:id="0">
    <w:p w14:paraId="60F0B8BA" w14:textId="77777777" w:rsidR="0055662B" w:rsidRDefault="005566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FDE619" w14:textId="6461C5A6" w:rsidR="008E22F5" w:rsidRDefault="00F70146" w:rsidP="00F70146">
    <w:pPr>
      <w:jc w:val="right"/>
    </w:pPr>
    <w:r>
      <w:rPr>
        <w:noProof/>
      </w:rPr>
      <w:drawing>
        <wp:inline distT="0" distB="0" distL="0" distR="0" wp14:anchorId="15E86958" wp14:editId="1AF0A82E">
          <wp:extent cx="794633" cy="387553"/>
          <wp:effectExtent l="0" t="0" r="5715" b="6350"/>
          <wp:docPr id="595345019" name="Picture 1" descr="A red square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345019" name="Picture 1" descr="A red square with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38598" cy="45776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44B44C4"/>
    <w:multiLevelType w:val="multilevel"/>
    <w:tmpl w:val="43A0BB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512196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0"/>
  <w:embedTrueTypeFonts/>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2F5"/>
    <w:rsid w:val="000779C3"/>
    <w:rsid w:val="0015666C"/>
    <w:rsid w:val="0017049D"/>
    <w:rsid w:val="001802D0"/>
    <w:rsid w:val="004A7D87"/>
    <w:rsid w:val="005012D4"/>
    <w:rsid w:val="0055662B"/>
    <w:rsid w:val="005F5570"/>
    <w:rsid w:val="0067096D"/>
    <w:rsid w:val="00803F78"/>
    <w:rsid w:val="008E22F5"/>
    <w:rsid w:val="009A52B2"/>
    <w:rsid w:val="00AF147C"/>
    <w:rsid w:val="00B02DB2"/>
    <w:rsid w:val="00D230C5"/>
    <w:rsid w:val="00D77450"/>
    <w:rsid w:val="00DD5ED4"/>
    <w:rsid w:val="00DF687D"/>
    <w:rsid w:val="00EA145D"/>
    <w:rsid w:val="00EF2045"/>
    <w:rsid w:val="00F70146"/>
    <w:rsid w:val="00FC093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EFE30"/>
  <w15:docId w15:val="{B17C32F1-6279-4759-860F-AB072A60E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fr" w:eastAsia="fr" w:bidi="fr"/>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Times New Roman"/>
      <w:lang w:bidi="ar-SA"/>
    </w:rPr>
  </w:style>
  <w:style w:type="paragraph" w:styleId="Heading1">
    <w:name w:val="heading 1"/>
    <w:basedOn w:val="Normal"/>
    <w:next w:val="Normal"/>
    <w:link w:val="Heading1Char"/>
    <w:uiPriority w:val="9"/>
    <w:qFormat/>
    <w:pPr>
      <w:keepNext/>
      <w:keepLines/>
      <w:spacing w:before="360" w:after="80"/>
      <w:outlineLvl w:val="0"/>
    </w:pPr>
    <w:rPr>
      <w:color w:val="2F5496"/>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color w:val="2F5496"/>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2F5496"/>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2F5496"/>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2F5496"/>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3B03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03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03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sz w:val="56"/>
      <w:szCs w:val="56"/>
    </w:rPr>
  </w:style>
  <w:style w:type="table" w:customStyle="1" w:styleId="TableNormal1">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3B0309"/>
    <w:rPr>
      <w:rFonts w:asciiTheme="majorHAnsi" w:eastAsiaTheme="majorEastAsia" w:hAnsiTheme="majorHAnsi" w:cstheme="majorBidi"/>
      <w:color w:val="2F5496" w:themeColor="accent1" w:themeShade="BF"/>
      <w:sz w:val="40"/>
      <w:szCs w:val="40"/>
      <w:lang w:val="en-CA"/>
    </w:rPr>
  </w:style>
  <w:style w:type="character" w:customStyle="1" w:styleId="Heading2Char">
    <w:name w:val="Heading 2 Char"/>
    <w:basedOn w:val="DefaultParagraphFont"/>
    <w:link w:val="Heading2"/>
    <w:uiPriority w:val="9"/>
    <w:semiHidden/>
    <w:rsid w:val="003B0309"/>
    <w:rPr>
      <w:rFonts w:asciiTheme="majorHAnsi" w:eastAsiaTheme="majorEastAsia" w:hAnsiTheme="majorHAnsi" w:cstheme="majorBidi"/>
      <w:color w:val="2F5496" w:themeColor="accent1" w:themeShade="BF"/>
      <w:sz w:val="32"/>
      <w:szCs w:val="32"/>
      <w:lang w:val="en-CA"/>
    </w:rPr>
  </w:style>
  <w:style w:type="character" w:customStyle="1" w:styleId="Heading3Char">
    <w:name w:val="Heading 3 Char"/>
    <w:basedOn w:val="DefaultParagraphFont"/>
    <w:link w:val="Heading3"/>
    <w:uiPriority w:val="9"/>
    <w:semiHidden/>
    <w:rsid w:val="003B0309"/>
    <w:rPr>
      <w:rFonts w:eastAsiaTheme="majorEastAsia" w:cstheme="majorBidi"/>
      <w:color w:val="2F5496" w:themeColor="accent1" w:themeShade="BF"/>
      <w:sz w:val="28"/>
      <w:szCs w:val="28"/>
      <w:lang w:val="en-CA"/>
    </w:rPr>
  </w:style>
  <w:style w:type="character" w:customStyle="1" w:styleId="Heading4Char">
    <w:name w:val="Heading 4 Char"/>
    <w:basedOn w:val="DefaultParagraphFont"/>
    <w:link w:val="Heading4"/>
    <w:uiPriority w:val="9"/>
    <w:semiHidden/>
    <w:rsid w:val="003B0309"/>
    <w:rPr>
      <w:rFonts w:eastAsiaTheme="majorEastAsia" w:cstheme="majorBidi"/>
      <w:i/>
      <w:iCs/>
      <w:color w:val="2F5496" w:themeColor="accent1" w:themeShade="BF"/>
      <w:lang w:val="en-CA"/>
    </w:rPr>
  </w:style>
  <w:style w:type="character" w:customStyle="1" w:styleId="Heading5Char">
    <w:name w:val="Heading 5 Char"/>
    <w:basedOn w:val="DefaultParagraphFont"/>
    <w:link w:val="Heading5"/>
    <w:uiPriority w:val="9"/>
    <w:semiHidden/>
    <w:rsid w:val="003B0309"/>
    <w:rPr>
      <w:rFonts w:eastAsiaTheme="majorEastAsia" w:cstheme="majorBidi"/>
      <w:color w:val="2F5496" w:themeColor="accent1" w:themeShade="BF"/>
      <w:lang w:val="en-CA"/>
    </w:rPr>
  </w:style>
  <w:style w:type="character" w:customStyle="1" w:styleId="Heading6Char">
    <w:name w:val="Heading 6 Char"/>
    <w:basedOn w:val="DefaultParagraphFont"/>
    <w:link w:val="Heading6"/>
    <w:uiPriority w:val="9"/>
    <w:semiHidden/>
    <w:rsid w:val="003B0309"/>
    <w:rPr>
      <w:rFonts w:eastAsiaTheme="majorEastAsia" w:cstheme="majorBidi"/>
      <w:i/>
      <w:iCs/>
      <w:color w:val="595959" w:themeColor="text1" w:themeTint="A6"/>
      <w:lang w:val="en-CA"/>
    </w:rPr>
  </w:style>
  <w:style w:type="character" w:customStyle="1" w:styleId="Heading7Char">
    <w:name w:val="Heading 7 Char"/>
    <w:basedOn w:val="DefaultParagraphFont"/>
    <w:link w:val="Heading7"/>
    <w:uiPriority w:val="9"/>
    <w:semiHidden/>
    <w:rsid w:val="003B0309"/>
    <w:rPr>
      <w:rFonts w:eastAsiaTheme="majorEastAsia" w:cstheme="majorBidi"/>
      <w:color w:val="595959" w:themeColor="text1" w:themeTint="A6"/>
      <w:lang w:val="en-CA"/>
    </w:rPr>
  </w:style>
  <w:style w:type="character" w:customStyle="1" w:styleId="Heading8Char">
    <w:name w:val="Heading 8 Char"/>
    <w:basedOn w:val="DefaultParagraphFont"/>
    <w:link w:val="Heading8"/>
    <w:uiPriority w:val="9"/>
    <w:semiHidden/>
    <w:rsid w:val="003B0309"/>
    <w:rPr>
      <w:rFonts w:eastAsiaTheme="majorEastAsia" w:cstheme="majorBidi"/>
      <w:i/>
      <w:iCs/>
      <w:color w:val="272727" w:themeColor="text1" w:themeTint="D8"/>
      <w:lang w:val="en-CA"/>
    </w:rPr>
  </w:style>
  <w:style w:type="character" w:customStyle="1" w:styleId="Heading9Char">
    <w:name w:val="Heading 9 Char"/>
    <w:basedOn w:val="DefaultParagraphFont"/>
    <w:link w:val="Heading9"/>
    <w:uiPriority w:val="9"/>
    <w:semiHidden/>
    <w:rsid w:val="003B0309"/>
    <w:rPr>
      <w:rFonts w:eastAsiaTheme="majorEastAsia" w:cstheme="majorBidi"/>
      <w:color w:val="272727" w:themeColor="text1" w:themeTint="D8"/>
      <w:lang w:val="en-CA"/>
    </w:rPr>
  </w:style>
  <w:style w:type="character" w:customStyle="1" w:styleId="TitleChar">
    <w:name w:val="Title Char"/>
    <w:basedOn w:val="DefaultParagraphFont"/>
    <w:link w:val="Title"/>
    <w:uiPriority w:val="10"/>
    <w:rsid w:val="003B0309"/>
    <w:rPr>
      <w:rFonts w:asciiTheme="majorHAnsi" w:eastAsiaTheme="majorEastAsia" w:hAnsiTheme="majorHAnsi" w:cstheme="majorBidi"/>
      <w:spacing w:val="-10"/>
      <w:kern w:val="28"/>
      <w:sz w:val="56"/>
      <w:szCs w:val="56"/>
      <w:lang w:val="en-CA"/>
    </w:rPr>
  </w:style>
  <w:style w:type="character" w:customStyle="1" w:styleId="SubtitleChar">
    <w:name w:val="Subtitle Char"/>
    <w:basedOn w:val="DefaultParagraphFont"/>
    <w:link w:val="Subtitle"/>
    <w:uiPriority w:val="11"/>
    <w:rsid w:val="003B0309"/>
    <w:rPr>
      <w:rFonts w:eastAsiaTheme="majorEastAsia" w:cstheme="majorBidi"/>
      <w:color w:val="595959" w:themeColor="text1" w:themeTint="A6"/>
      <w:spacing w:val="15"/>
      <w:sz w:val="28"/>
      <w:szCs w:val="28"/>
      <w:lang w:val="en-CA"/>
    </w:rPr>
  </w:style>
  <w:style w:type="paragraph" w:styleId="Quote">
    <w:name w:val="Quote"/>
    <w:basedOn w:val="Normal"/>
    <w:next w:val="Normal"/>
    <w:link w:val="QuoteChar"/>
    <w:uiPriority w:val="29"/>
    <w:qFormat/>
    <w:rsid w:val="003B0309"/>
    <w:pPr>
      <w:spacing w:before="160"/>
      <w:jc w:val="center"/>
    </w:pPr>
    <w:rPr>
      <w:i/>
      <w:iCs/>
      <w:color w:val="404040" w:themeColor="text1" w:themeTint="BF"/>
    </w:rPr>
  </w:style>
  <w:style w:type="character" w:customStyle="1" w:styleId="QuoteChar">
    <w:name w:val="Quote Char"/>
    <w:basedOn w:val="DefaultParagraphFont"/>
    <w:link w:val="Quote"/>
    <w:uiPriority w:val="29"/>
    <w:rsid w:val="003B0309"/>
    <w:rPr>
      <w:i/>
      <w:iCs/>
      <w:color w:val="404040" w:themeColor="text1" w:themeTint="BF"/>
      <w:lang w:val="en-CA"/>
    </w:rPr>
  </w:style>
  <w:style w:type="paragraph" w:styleId="ListParagraph">
    <w:name w:val="List Paragraph"/>
    <w:basedOn w:val="Normal"/>
    <w:uiPriority w:val="34"/>
    <w:qFormat/>
    <w:rsid w:val="003B0309"/>
    <w:pPr>
      <w:ind w:left="720"/>
      <w:contextualSpacing/>
    </w:pPr>
  </w:style>
  <w:style w:type="character" w:styleId="IntenseEmphasis">
    <w:name w:val="Intense Emphasis"/>
    <w:basedOn w:val="DefaultParagraphFont"/>
    <w:uiPriority w:val="21"/>
    <w:qFormat/>
    <w:rsid w:val="003B0309"/>
    <w:rPr>
      <w:i/>
      <w:iCs/>
      <w:color w:val="2F5496" w:themeColor="accent1" w:themeShade="BF"/>
    </w:rPr>
  </w:style>
  <w:style w:type="paragraph" w:styleId="IntenseQuote">
    <w:name w:val="Intense Quote"/>
    <w:basedOn w:val="Normal"/>
    <w:next w:val="Normal"/>
    <w:link w:val="IntenseQuoteChar"/>
    <w:uiPriority w:val="30"/>
    <w:qFormat/>
    <w:rsid w:val="003B03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B0309"/>
    <w:rPr>
      <w:i/>
      <w:iCs/>
      <w:color w:val="2F5496" w:themeColor="accent1" w:themeShade="BF"/>
      <w:lang w:val="en-CA"/>
    </w:rPr>
  </w:style>
  <w:style w:type="character" w:styleId="IntenseReference">
    <w:name w:val="Intense Reference"/>
    <w:basedOn w:val="DefaultParagraphFont"/>
    <w:uiPriority w:val="32"/>
    <w:qFormat/>
    <w:rsid w:val="003B0309"/>
    <w:rPr>
      <w:b/>
      <w:bCs/>
      <w:smallCaps/>
      <w:color w:val="2F5496" w:themeColor="accent1" w:themeShade="BF"/>
      <w:spacing w:val="5"/>
    </w:rPr>
  </w:style>
  <w:style w:type="character" w:styleId="Hyperlink">
    <w:name w:val="Hyperlink"/>
    <w:basedOn w:val="DefaultParagraphFont"/>
    <w:uiPriority w:val="99"/>
    <w:unhideWhenUsed/>
    <w:rsid w:val="00CC6B61"/>
    <w:rPr>
      <w:color w:val="0563C1" w:themeColor="hyperlink"/>
      <w:u w:val="single"/>
    </w:rPr>
  </w:style>
  <w:style w:type="character" w:styleId="UnresolvedMention">
    <w:name w:val="Unresolved Mention"/>
    <w:basedOn w:val="DefaultParagraphFont"/>
    <w:uiPriority w:val="99"/>
    <w:semiHidden/>
    <w:unhideWhenUsed/>
    <w:rsid w:val="00CC6B61"/>
    <w:rPr>
      <w:color w:val="605E5C"/>
      <w:shd w:val="clear" w:color="auto" w:fill="E1DFDD"/>
    </w:r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tblPr>
      <w:tblStyleRowBandSize w:val="1"/>
      <w:tblStyleColBandSize w:val="1"/>
    </w:tblPr>
  </w:style>
  <w:style w:type="paragraph" w:styleId="Revision">
    <w:name w:val="Revision"/>
    <w:hidden/>
    <w:uiPriority w:val="99"/>
    <w:semiHidden/>
    <w:rsid w:val="004A7D87"/>
    <w:pPr>
      <w:spacing w:after="0" w:line="240" w:lineRule="auto"/>
    </w:pPr>
    <w:rPr>
      <w:rFonts w:cs="Times New Roman"/>
      <w:lang w:bidi="ar-SA"/>
    </w:rPr>
  </w:style>
  <w:style w:type="paragraph" w:styleId="Header">
    <w:name w:val="header"/>
    <w:basedOn w:val="Normal"/>
    <w:link w:val="HeaderChar"/>
    <w:uiPriority w:val="99"/>
    <w:unhideWhenUsed/>
    <w:rsid w:val="00F70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0146"/>
  </w:style>
  <w:style w:type="paragraph" w:styleId="Footer">
    <w:name w:val="footer"/>
    <w:basedOn w:val="Normal"/>
    <w:link w:val="FooterChar"/>
    <w:uiPriority w:val="99"/>
    <w:unhideWhenUsed/>
    <w:rsid w:val="00F70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1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resolutions@fmcic.c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3qxFX0bjFi2IHFbIUWzHP6TwEw==">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646</Words>
  <Characters>3687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Kreutzweiser</dc:creator>
  <cp:lastModifiedBy>Lisa Howden</cp:lastModifiedBy>
  <cp:revision>2</cp:revision>
  <dcterms:created xsi:type="dcterms:W3CDTF">2026-04-14T16:19:00Z</dcterms:created>
  <dcterms:modified xsi:type="dcterms:W3CDTF">2026-04-14T16:19:00Z</dcterms:modified>
</cp:coreProperties>
</file>